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643612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rPr>
          <w:rFonts w:ascii="Times New Roman" w:hAnsi="Times New Roman"/>
          <w:sz w:val="20"/>
        </w:rPr>
      </w:pPr>
      <w:r>
        <w:drawing>
          <wp:anchor xmlns:wp="http://schemas.openxmlformats.org/drawingml/2006/wordprocessingDrawing" simplePos="0" allowOverlap="0" behindDoc="0" layoutInCell="0" locked="0" relativeHeight="1024">
            <wp:simplePos x="0" y="0"/>
            <wp:positionH relativeFrom="column">
              <wp:posOffset>-1082040</wp:posOffset>
            </wp:positionH>
            <wp:positionV relativeFrom="paragraph">
              <wp:posOffset>-502920</wp:posOffset>
            </wp:positionV>
            <wp:extent cx="7566660" cy="107289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289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 xml:space="preserve">Принято                                                             Согласовано                                                                 Утверждено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общим собранием трудового                      Профорг                                                         Приказ № 89-о от 28.12.2020г. коллектива                                                  МБУДО «Яблоновская ДШИ»                       Директор   МБУДО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Протокол № 3                                             ____________ Акопян Г.К.                           «Яблоновская ДШИ»    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28.12.2020г.                                                  28.12.2020г..                                                 _________ Федченко С.А.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.                                                       .                                           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0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color w:val="FF0000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4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4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4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4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4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4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ПОЛОЖЕНИЕ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об оплате труда работников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муниципального бюджетного учреждения дополнительного образования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«Яблоновская детская школа искусств»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п.Яблоновский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Общие положения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Настоящее положение об оплате регулирует примерные порядок и условия оплаты труда работников муниципального бюджетного учреждения дополнительного образования «Яблоновская детская школа искусств» (далее – учреждение).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Системы оплаты труда в учреждениях устанавливаются коллективными договорами, соглашениями, локальными нормативными актами в соответствии с федеральным законодательством, законодательством Республики Адыгея, настоящим положением с учетом: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государственных гарантий по оплате труда;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перечня видов выплат компенсационного характера в федеральных бюджетных, автономных и казенных учреждениях, утверждаемого Министерством труда и социальной защиты Российской Федерации;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перечня видов выплат стимулирующего характера в федеральных бюджетных, автономных и казенных учреждениях, утверждаемого Министерством труда и социальной защиты Российской Федерации;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рекомендаций Российской трехсторонней комиссии по регулированию социально-трудовых отношений;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мнения представительного органа работников (иных представителей работников).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Месячная заработная плата работников учреждения, полностью отработавших за этот период норму рабочего времени и выполнивших нормы труда (трудовые обязанности), не может быть ниже минимального размера оплаты труда.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Заработная плата работников учреждения предельными размерами не ограничивается.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Условия оплаты труда работников учреждений, не урегулированные настоящим положением, определяются в соответствии с трудовым законодательством.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Штатное расписание учреждения утверждается его руководителем и включает в себя все должности (профессии рабочих) учреждения.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Фонд оплаты труда работников учреждения формируется исходя из объема субсидий, поступающих учреждению из бюджета МО «Тахтамукайский район», и средств, поступающих от приносящей доход деятельности.</w:t>
      </w:r>
    </w:p>
    <w:p>
      <w:pPr>
        <w:spacing w:lineRule="auto" w:line="240" w:after="0" w:beforeAutospacing="0" w:afterAutospacing="0"/>
        <w:ind w:firstLine="708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II. Порядок и условия оплаты труда работников, занимающих должности работников образования</w:t>
      </w:r>
    </w:p>
    <w:p>
      <w:pPr>
        <w:spacing w:lineRule="auto" w:line="240" w:after="0" w:beforeAutospacing="0" w:afterAutospacing="0"/>
        <w:ind w:firstLine="708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Заработная плата работников, занимающих должности работников образования (далее - работники), включает в себя: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оклад (должностной оклад), ставку заработной платы;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выплаты компенсационного характера;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выплаты стимулирующего характера.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Размеры окладов (должностных окладов), ставок заработной платы за норму часов педагогической работы работников, устанавливаются на основе отнесения занимаемых ими должностей к профессиональным квалификационным группам (далее — ПКГ), утвержденным приказом Министерства здравоохранения и социального развития Российской Федерации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 5 мая 2008 года № 216н «Об утверждении профессиональны, квалификационных групп должностей работников образования»: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0A0"/>
      </w:tblPr>
      <w:tblGrid/>
      <w:tr>
        <w:tc>
          <w:tcPr>
            <w:tcW w:w="521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Профессиональные квалификационные группы должностей/квалификационные уровни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36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Размеры окладов (должностных окладов), ставок заработной платы за норму часов педагогической работы (в рублях) 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c>
          <w:tcPr>
            <w:tcW w:w="521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Должности работников, отнесенных к ПKГ учебно-вспомогательного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персонала первого уровня</w:t>
            </w:r>
          </w:p>
        </w:tc>
        <w:tc>
          <w:tcPr>
            <w:tcW w:w="436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7700</w:t>
            </w:r>
          </w:p>
        </w:tc>
      </w:tr>
      <w:tr>
        <w:tc>
          <w:tcPr>
            <w:tcW w:w="9571" w:type="dxa"/>
            <w:gridSpan w:val="2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Должности работников, отнесенных к ПКГ учебно-вспомогательного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персонала второго уровня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521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w="436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7900</w:t>
            </w:r>
          </w:p>
        </w:tc>
      </w:tr>
      <w:tr>
        <w:tc>
          <w:tcPr>
            <w:tcW w:w="521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квалификационный уровень</w:t>
            </w:r>
          </w:p>
        </w:tc>
        <w:tc>
          <w:tcPr>
            <w:tcW w:w="436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8100</w:t>
            </w:r>
          </w:p>
        </w:tc>
      </w:tr>
      <w:tr>
        <w:tc>
          <w:tcPr>
            <w:tcW w:w="9571" w:type="dxa"/>
            <w:gridSpan w:val="2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Должности, отнесенные к ПКГ педагогических работников</w:t>
            </w:r>
          </w:p>
        </w:tc>
      </w:tr>
      <w:tr>
        <w:tc>
          <w:tcPr>
            <w:tcW w:w="521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w="436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10100</w:t>
            </w:r>
          </w:p>
        </w:tc>
      </w:tr>
      <w:tr>
        <w:tc>
          <w:tcPr>
            <w:tcW w:w="521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квалификационный уровень</w:t>
            </w:r>
          </w:p>
        </w:tc>
        <w:tc>
          <w:tcPr>
            <w:tcW w:w="436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10300</w:t>
            </w:r>
          </w:p>
        </w:tc>
      </w:tr>
      <w:tr>
        <w:tc>
          <w:tcPr>
            <w:tcW w:w="521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  <w:tc>
          <w:tcPr>
            <w:tcW w:w="436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10600</w:t>
            </w:r>
          </w:p>
        </w:tc>
      </w:tr>
      <w:tr>
        <w:tc>
          <w:tcPr>
            <w:tcW w:w="521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квалификационный уровень</w:t>
            </w:r>
          </w:p>
        </w:tc>
        <w:tc>
          <w:tcPr>
            <w:tcW w:w="436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10800</w:t>
            </w:r>
          </w:p>
        </w:tc>
      </w:tr>
      <w:tr>
        <w:tc>
          <w:tcPr>
            <w:tcW w:w="9571" w:type="dxa"/>
            <w:gridSpan w:val="2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Должности, отнесенные к ПКГ руководителей структурных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подразделений</w:t>
            </w:r>
          </w:p>
        </w:tc>
      </w:tr>
      <w:tr>
        <w:tc>
          <w:tcPr>
            <w:tcW w:w="521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w="436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11100</w:t>
            </w:r>
          </w:p>
        </w:tc>
      </w:tr>
      <w:tr>
        <w:tc>
          <w:tcPr>
            <w:tcW w:w="521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квалификационный уровень</w:t>
            </w:r>
          </w:p>
        </w:tc>
        <w:tc>
          <w:tcPr>
            <w:tcW w:w="436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12000</w:t>
            </w:r>
          </w:p>
        </w:tc>
      </w:tr>
      <w:tr>
        <w:tc>
          <w:tcPr>
            <w:tcW w:w="521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  <w:tc>
          <w:tcPr>
            <w:tcW w:w="436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12900</w:t>
            </w:r>
          </w:p>
        </w:tc>
      </w:tr>
    </w:tbl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6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Размеры окладов (должностных окладов) работников, отнесенных к иным ПКГ, устанавливаются локальным нормативным актом учреждения не ниже установленных положениями об оплате труда работников муниципальных учреждений культуры, осуществляющих деятельность по соответствующему виду экономической деятельности.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Особенности оплаты труда педагогических работников, продолжительность рабочего времени педагогических работников устанавливаются в соответствии с приложением № 1 к настоящему положению.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Для работников, осуществляющих педагогическую деятельность, может применяться почасовая оплата труда. Порядок и условия почасовой оплаты труда педагогических работников устанавливаются в соответствии с приложением № 2 к настоящему положению.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Работникам устанавливаются следующие повышающие коэффициенты к окладу: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повышающий коэффициент к окладу (должностному окладу), ставке заработной платы за квалификационную категорию;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персональный повышающий коэффициент к окладу (должностному окладу), ставке заработной платы;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повышающий коэффициент к окладу (должностному окладу), ставке заработной платы за специфику работы педагогическим работникам.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Применение повышающих коэффициентов к окладу (должностному окладу), ставке заработной платы не образует новый оклад и не учитывается при начислении стимулирующих и</w:t>
        <w:tab/>
        <w:t>компенсационных выплат, устанавливаемых в процентном отношении к окладу.</w:t>
        <w:tab/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Решение о применении соответствующих повышающих коэффициентов к окладу (должностному окладу), ставке заработной платы принимается руководителем учреждения с учетом обеспечения указанных выплат финансовыми средствами.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Повышающие коэффициенты к окладу (должностному окладу), ставке заработной платы устанавливаются на определенный период времени в течение соответствующею календарного года.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Размеры и условия применения повышающих коэффициентов к окладам работников приведены в пунктах 12-14 настоящего раздела.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12. Повышающий коэффициент к окладу (должностному окладу), ставке заработной платы за квалификационную категорию устанавливается к окладу (должностному окладу), ставке заработной платы с целью стимулирования педагогических работников к качественному результату труда, профессиональному росту путем повышения профессиональной квалификации и компетентности. Размеры повышающего коэффициента устанавливаются в зависимости от квалификационной категории: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6"/>
        </w:rPr>
      </w:pPr>
    </w:p>
    <w:tbl>
      <w:tblPr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0A0"/>
      </w:tblPr>
      <w:tblGrid/>
      <w:tr>
        <w:tc>
          <w:tcPr>
            <w:tcW w:w="4785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Виды квалификационной категории</w:t>
            </w:r>
          </w:p>
        </w:tc>
        <w:tc>
          <w:tcPr>
            <w:tcW w:w="4786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Размер повышающего коэффициента</w:t>
            </w:r>
          </w:p>
        </w:tc>
      </w:tr>
      <w:tr>
        <w:tc>
          <w:tcPr>
            <w:tcW w:w="4785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Высшая категория</w:t>
            </w:r>
          </w:p>
        </w:tc>
        <w:tc>
          <w:tcPr>
            <w:tcW w:w="4786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0,50</w:t>
            </w:r>
          </w:p>
        </w:tc>
      </w:tr>
      <w:tr>
        <w:tc>
          <w:tcPr>
            <w:tcW w:w="4785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Первая категория</w:t>
            </w:r>
          </w:p>
        </w:tc>
        <w:tc>
          <w:tcPr>
            <w:tcW w:w="4786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0,30</w:t>
            </w:r>
          </w:p>
        </w:tc>
      </w:tr>
    </w:tbl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6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13. Персональный повышающий коэффициент к окладу (должностному окладу), ставке заработной платы может быть установлен 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(должностному окладу), ставке заработной платы и его размерах принимается руководителем учреждения персонально в отношении конкретного работника. Размер персонального повышающего коэффициента - в пределах 3,0.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Повышающий коэффициент к окладу (должностному окладу), ставке заработной платы за специфику работы устанавливается педагогическим работникам профессиональных образовательных организаций в сфере культуры с индивидуальными формами обучения, за исключением руководителей и работников, оклады которых определяются в процентном отношении к окладу руководителя, в размере 0,15.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15. С учетом условий труда работникам устанавливаются выплаты компенсационного характера, предусмотренные разделом VI настоящего положения.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16. Работникам могут устанавливаться стимулирующие выплаты, предусмотренные разделом VII настоящего положения.</w:t>
      </w:r>
    </w:p>
    <w:p>
      <w:pPr>
        <w:spacing w:lineRule="auto" w:line="240" w:after="0" w:beforeAutospacing="0" w:afterAutospacing="0"/>
        <w:ind w:firstLine="708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III. Порядок и условия оплаты труда работников, занимающих общеотраслевые должности руководителей, специалистов и служащих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numPr>
          <w:ilvl w:val="0"/>
          <w:numId w:val="4"/>
        </w:num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Размеры окладов работников, занимающих общеотраслевые должности руководителей, специалистов и служащих (далее - служащие),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служащих», не ниже следующих минимальных размеров оклада:</w:t>
      </w:r>
    </w:p>
    <w:p>
      <w:pPr>
        <w:spacing w:lineRule="auto" w:line="240" w:after="0" w:beforeAutospacing="0" w:afterAutospacing="0"/>
        <w:ind w:left="1188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0A0"/>
      </w:tblPr>
      <w:tblGrid/>
      <w:tr>
        <w:trPr>
          <w:trHeight w:hRule="atLeast" w:val="285"/>
        </w:trPr>
        <w:tc>
          <w:tcPr>
            <w:tcW w:w="4787" w:type="dxa"/>
          </w:tcPr>
          <w:p>
            <w:pPr>
              <w:spacing w:lineRule="auto" w:line="240" w:after="0" w:beforeAutospacing="0" w:afterAutospacing="0"/>
              <w:ind w:firstLine="708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профессиональной квалификационной группы</w:t>
            </w:r>
          </w:p>
        </w:tc>
        <w:tc>
          <w:tcPr>
            <w:tcW w:w="4784" w:type="dxa"/>
          </w:tcPr>
          <w:p>
            <w:pPr>
              <w:spacing w:lineRule="auto" w:line="240" w:after="0" w:beforeAutospacing="0" w:afterAutospacing="0"/>
              <w:ind w:firstLine="7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Минимальный размер оклада (в рублях)</w:t>
            </w:r>
          </w:p>
        </w:tc>
      </w:tr>
      <w:tr>
        <w:trPr>
          <w:trHeight w:hRule="atLeast" w:val="255"/>
        </w:trPr>
        <w:tc>
          <w:tcPr>
            <w:tcW w:w="9571" w:type="dxa"/>
            <w:gridSpan w:val="2"/>
          </w:tcPr>
          <w:p>
            <w:pPr>
              <w:spacing w:lineRule="auto" w:line="240" w:after="0" w:beforeAutospacing="0" w:afterAutospacing="0"/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Должности, отнесенные ПКГ «Общеотраслевые должности служащих первого уровня»</w:t>
            </w:r>
          </w:p>
        </w:tc>
      </w:tr>
      <w:tr>
        <w:trPr>
          <w:trHeight w:hRule="atLeast" w:val="255"/>
        </w:trPr>
        <w:tc>
          <w:tcPr>
            <w:tcW w:w="4787" w:type="dxa"/>
            <w:tcBorders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w="4784" w:type="dxa"/>
            <w:tcBorders>
              <w:lef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8100</w:t>
            </w:r>
          </w:p>
        </w:tc>
      </w:tr>
      <w:tr>
        <w:trPr>
          <w:trHeight w:hRule="atLeast" w:val="255"/>
        </w:trPr>
        <w:tc>
          <w:tcPr>
            <w:tcW w:w="4787" w:type="dxa"/>
            <w:tcBorders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квалификационный уровень</w:t>
            </w:r>
          </w:p>
        </w:tc>
        <w:tc>
          <w:tcPr>
            <w:tcW w:w="4784" w:type="dxa"/>
            <w:tcBorders>
              <w:lef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8500</w:t>
            </w:r>
          </w:p>
        </w:tc>
      </w:tr>
      <w:tr>
        <w:trPr>
          <w:trHeight w:hRule="atLeast" w:val="255"/>
        </w:trPr>
        <w:tc>
          <w:tcPr>
            <w:tcW w:w="9571" w:type="dxa"/>
            <w:gridSpan w:val="2"/>
          </w:tcPr>
          <w:p>
            <w:pPr>
              <w:spacing w:lineRule="auto" w:line="240" w:after="0" w:beforeAutospacing="0" w:afterAutospacing="0"/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Должности, отнесенные ПКГ «Общеотраслевые должности служащих второго уровня»</w:t>
            </w:r>
          </w:p>
        </w:tc>
      </w:tr>
      <w:tr>
        <w:trPr>
          <w:trHeight w:hRule="atLeast" w:val="255"/>
        </w:trPr>
        <w:tc>
          <w:tcPr>
            <w:tcW w:w="478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w="4784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7400</w:t>
            </w:r>
          </w:p>
        </w:tc>
      </w:tr>
      <w:tr>
        <w:trPr>
          <w:trHeight w:hRule="atLeast" w:val="255"/>
        </w:trPr>
        <w:tc>
          <w:tcPr>
            <w:tcW w:w="478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квалификационный уровень</w:t>
            </w:r>
          </w:p>
        </w:tc>
        <w:tc>
          <w:tcPr>
            <w:tcW w:w="4784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7800</w:t>
            </w:r>
          </w:p>
        </w:tc>
      </w:tr>
      <w:tr>
        <w:trPr>
          <w:trHeight w:hRule="atLeast" w:val="255"/>
        </w:trPr>
        <w:tc>
          <w:tcPr>
            <w:tcW w:w="478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  <w:tc>
          <w:tcPr>
            <w:tcW w:w="4784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7900</w:t>
            </w:r>
          </w:p>
        </w:tc>
      </w:tr>
      <w:tr>
        <w:trPr>
          <w:trHeight w:hRule="atLeast" w:val="255"/>
        </w:trPr>
        <w:tc>
          <w:tcPr>
            <w:tcW w:w="478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квалификационный уровень</w:t>
            </w:r>
          </w:p>
        </w:tc>
        <w:tc>
          <w:tcPr>
            <w:tcW w:w="4784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8200</w:t>
            </w:r>
          </w:p>
        </w:tc>
      </w:tr>
      <w:tr>
        <w:trPr>
          <w:trHeight w:hRule="atLeast" w:val="255"/>
        </w:trPr>
        <w:tc>
          <w:tcPr>
            <w:tcW w:w="478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квалификационный уровень</w:t>
            </w:r>
          </w:p>
        </w:tc>
        <w:tc>
          <w:tcPr>
            <w:tcW w:w="4784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8700</w:t>
            </w:r>
          </w:p>
        </w:tc>
      </w:tr>
      <w:tr>
        <w:trPr>
          <w:trHeight w:hRule="atLeast" w:val="255"/>
        </w:trPr>
        <w:tc>
          <w:tcPr>
            <w:tcW w:w="9571" w:type="dxa"/>
            <w:gridSpan w:val="2"/>
          </w:tcPr>
          <w:p>
            <w:pPr>
              <w:spacing w:lineRule="auto" w:line="240" w:after="0" w:beforeAutospacing="0" w:afterAutospacing="0"/>
              <w:ind w:firstLine="708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ind w:firstLine="708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Должности, отнесенные ПКГ «Общеотраслевые должности служащих третьего уровня»</w:t>
            </w:r>
          </w:p>
        </w:tc>
      </w:tr>
      <w:tr>
        <w:trPr>
          <w:trHeight w:hRule="atLeast" w:val="255"/>
        </w:trPr>
        <w:tc>
          <w:tcPr>
            <w:tcW w:w="478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w="4784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8500</w:t>
            </w:r>
          </w:p>
        </w:tc>
      </w:tr>
      <w:tr>
        <w:trPr>
          <w:trHeight w:hRule="atLeast" w:val="255"/>
        </w:trPr>
        <w:tc>
          <w:tcPr>
            <w:tcW w:w="478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квалификационный уровень</w:t>
            </w:r>
          </w:p>
        </w:tc>
        <w:tc>
          <w:tcPr>
            <w:tcW w:w="4784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8700</w:t>
            </w:r>
          </w:p>
        </w:tc>
      </w:tr>
      <w:tr>
        <w:trPr>
          <w:trHeight w:hRule="atLeast" w:val="255"/>
        </w:trPr>
        <w:tc>
          <w:tcPr>
            <w:tcW w:w="478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  <w:tc>
          <w:tcPr>
            <w:tcW w:w="4784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9000</w:t>
            </w:r>
          </w:p>
        </w:tc>
      </w:tr>
      <w:tr>
        <w:trPr>
          <w:trHeight w:hRule="atLeast" w:val="255"/>
        </w:trPr>
        <w:tc>
          <w:tcPr>
            <w:tcW w:w="478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квалификационный уровень</w:t>
            </w:r>
          </w:p>
        </w:tc>
        <w:tc>
          <w:tcPr>
            <w:tcW w:w="4784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9300</w:t>
            </w:r>
          </w:p>
        </w:tc>
      </w:tr>
      <w:tr>
        <w:trPr>
          <w:trHeight w:hRule="atLeast" w:val="255"/>
        </w:trPr>
        <w:tc>
          <w:tcPr>
            <w:tcW w:w="478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квалификационный уровень</w:t>
            </w:r>
          </w:p>
        </w:tc>
        <w:tc>
          <w:tcPr>
            <w:tcW w:w="4784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9500</w:t>
            </w:r>
          </w:p>
        </w:tc>
      </w:tr>
      <w:tr>
        <w:trPr>
          <w:trHeight w:hRule="atLeast" w:val="255"/>
        </w:trPr>
        <w:tc>
          <w:tcPr>
            <w:tcW w:w="9571" w:type="dxa"/>
            <w:gridSpan w:val="2"/>
          </w:tcPr>
          <w:p>
            <w:pPr>
              <w:spacing w:lineRule="auto" w:line="240" w:after="0" w:beforeAutospacing="0" w:afterAutospacing="0"/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Должности, отнесенные ПКГ «Общеотраслевые должности служащих четвертого уровня»</w:t>
            </w:r>
          </w:p>
        </w:tc>
      </w:tr>
      <w:tr>
        <w:trPr>
          <w:trHeight w:hRule="atLeast" w:val="255"/>
        </w:trPr>
        <w:tc>
          <w:tcPr>
            <w:tcW w:w="478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квалификационный уровень</w:t>
            </w:r>
          </w:p>
        </w:tc>
        <w:tc>
          <w:tcPr>
            <w:tcW w:w="4784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11600</w:t>
            </w:r>
          </w:p>
        </w:tc>
      </w:tr>
      <w:tr>
        <w:trPr>
          <w:trHeight w:hRule="atLeast" w:val="255"/>
        </w:trPr>
        <w:tc>
          <w:tcPr>
            <w:tcW w:w="4787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квалификационный уровень</w:t>
            </w:r>
          </w:p>
        </w:tc>
        <w:tc>
          <w:tcPr>
            <w:tcW w:w="4784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12100</w:t>
            </w:r>
          </w:p>
        </w:tc>
      </w:tr>
      <w:tr>
        <w:trPr>
          <w:trHeight w:hRule="atLeast" w:val="255"/>
        </w:trPr>
        <w:tc>
          <w:tcPr>
            <w:tcW w:w="4787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квалификационный уровень</w:t>
            </w:r>
          </w:p>
        </w:tc>
        <w:tc>
          <w:tcPr>
            <w:tcW w:w="4784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12400</w:t>
            </w:r>
          </w:p>
        </w:tc>
      </w:tr>
    </w:tbl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6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Оклады заместителей руководителей структурных подразделений учреждения устанавливаются на 5-10 процентов ниже размеров окладов руководителей соответствующих подразделений.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Примерным положением предусматривается установление к окладам служащих повышающих коэффициентов следующих видов: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персональный повышающий коэффициент к окладу;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повышающий коэффициент к окладу по занимаемой должности.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Применение повышающего коэффициента к окладу не образует новый оклад и не учитывается при начислении стимулирующих и компенсационных выплат, устанавливаемых в процентном отношении к окладу.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Размер выплат по повышающему коэффициенту к окладу определяется путем умножения размера оклада служащего на повышающий коэффициент.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Повышающие коэффициенты к окладам устанавливаются на определенный период времени в течение соответствующего календарного года.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Размеры и условия применения повышающих коэффициентов к окладам общеотраслевых должностей служащих учреждения приведены в пунктах 8-9 настоящего раздела.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Персональный повышающий коэффициент к окладу может быть установлен служащему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Рекомендуемый размер повышающего коэффициента - в пределах 3,0.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Повышающий коэффициент к окладу но занимаемой должности устанавливается всем служащим, занимающим должности, предусматривающие должностное категорирование, в следующих размерах: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6"/>
        </w:rPr>
      </w:pPr>
    </w:p>
    <w:tbl>
      <w:tblPr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0A0"/>
      </w:tblPr>
      <w:tblGrid/>
      <w:tr>
        <w:tc>
          <w:tcPr>
            <w:tcW w:w="4785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Должностные категории</w:t>
            </w:r>
          </w:p>
        </w:tc>
        <w:tc>
          <w:tcPr>
            <w:tcW w:w="4786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Размер повышающего коэффициента</w:t>
            </w:r>
          </w:p>
        </w:tc>
      </w:tr>
      <w:tr>
        <w:tc>
          <w:tcPr>
            <w:tcW w:w="4785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Главный </w:t>
            </w:r>
          </w:p>
        </w:tc>
        <w:tc>
          <w:tcPr>
            <w:tcW w:w="4786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0,50</w:t>
            </w:r>
          </w:p>
        </w:tc>
      </w:tr>
      <w:tr>
        <w:tc>
          <w:tcPr>
            <w:tcW w:w="4785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Ведущий</w:t>
            </w:r>
          </w:p>
        </w:tc>
        <w:tc>
          <w:tcPr>
            <w:tcW w:w="4786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0,40</w:t>
            </w:r>
          </w:p>
        </w:tc>
      </w:tr>
      <w:tr>
        <w:tc>
          <w:tcPr>
            <w:tcW w:w="4785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Старший</w:t>
            </w:r>
          </w:p>
        </w:tc>
        <w:tc>
          <w:tcPr>
            <w:tcW w:w="4786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0,35</w:t>
            </w:r>
          </w:p>
        </w:tc>
      </w:tr>
      <w:tr>
        <w:tc>
          <w:tcPr>
            <w:tcW w:w="4785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Высшая категория</w:t>
            </w:r>
          </w:p>
        </w:tc>
        <w:tc>
          <w:tcPr>
            <w:tcW w:w="4786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0,35</w:t>
            </w:r>
          </w:p>
        </w:tc>
      </w:tr>
      <w:tr>
        <w:tc>
          <w:tcPr>
            <w:tcW w:w="4785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Первая категория</w:t>
            </w:r>
          </w:p>
        </w:tc>
        <w:tc>
          <w:tcPr>
            <w:tcW w:w="4786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0,30</w:t>
            </w:r>
          </w:p>
        </w:tc>
      </w:tr>
      <w:tr>
        <w:tc>
          <w:tcPr>
            <w:tcW w:w="4785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 Вторая категория</w:t>
            </w:r>
          </w:p>
        </w:tc>
        <w:tc>
          <w:tcPr>
            <w:tcW w:w="4786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0,25</w:t>
            </w:r>
          </w:p>
        </w:tc>
      </w:tr>
      <w:tr>
        <w:tc>
          <w:tcPr>
            <w:tcW w:w="4785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 Третья категория</w:t>
            </w:r>
          </w:p>
        </w:tc>
        <w:tc>
          <w:tcPr>
            <w:tcW w:w="4786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 0,20</w:t>
            </w:r>
          </w:p>
        </w:tc>
      </w:tr>
    </w:tbl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С учетом условий труда служащим устанавливаются выплаты компенсационного характера, предусмотренные разделом VI настоящего положения.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Служащим могут устанавливаться стимулирующие выплаты, предусмотренные разделом VII настоящего положения.</w:t>
      </w:r>
    </w:p>
    <w:p>
      <w:pPr>
        <w:spacing w:lineRule="auto" w:line="240" w:after="0" w:beforeAutospacing="0" w:afterAutospacing="0"/>
        <w:ind w:firstLine="708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IV. Порядок и условия оплаты труда работников, осуществляющих профессиональную деятельность по профессиям рабочих</w:t>
      </w:r>
    </w:p>
    <w:p>
      <w:pPr>
        <w:spacing w:lineRule="auto" w:line="240" w:after="0" w:beforeAutospacing="0" w:afterAutospacing="0"/>
        <w:ind w:firstLine="708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Размеры окладов работников, осуществляющих профессиональную деятельность по профессиям рабочих (далее - рабочие),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рабочих, не ниже следующих минимальных размеров окладов:</w:t>
      </w:r>
    </w:p>
    <w:tbl>
      <w:tblPr>
        <w:tblW w:w="9571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0A0"/>
      </w:tblPr>
      <w:tblGrid/>
      <w:tr>
        <w:tc>
          <w:tcPr>
            <w:tcW w:w="677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Разряды по Единой тарифной ставке</w:t>
            </w:r>
          </w:p>
        </w:tc>
        <w:tc>
          <w:tcPr>
            <w:tcW w:w="280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Минимальный размер оклада (в рублях)</w:t>
            </w:r>
          </w:p>
        </w:tc>
      </w:tr>
      <w:tr>
        <w:tc>
          <w:tcPr>
            <w:tcW w:w="677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80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6400</w:t>
            </w:r>
          </w:p>
        </w:tc>
      </w:tr>
      <w:tr>
        <w:tc>
          <w:tcPr>
            <w:tcW w:w="677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80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6600</w:t>
            </w:r>
          </w:p>
        </w:tc>
      </w:tr>
      <w:tr>
        <w:tc>
          <w:tcPr>
            <w:tcW w:w="677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80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6900</w:t>
            </w:r>
          </w:p>
        </w:tc>
      </w:tr>
      <w:tr>
        <w:tc>
          <w:tcPr>
            <w:tcW w:w="677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80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7200</w:t>
            </w:r>
          </w:p>
        </w:tc>
      </w:tr>
      <w:tr>
        <w:tc>
          <w:tcPr>
            <w:tcW w:w="677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80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7500</w:t>
            </w:r>
          </w:p>
        </w:tc>
      </w:tr>
      <w:tr>
        <w:tc>
          <w:tcPr>
            <w:tcW w:w="677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80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7800</w:t>
            </w:r>
          </w:p>
        </w:tc>
      </w:tr>
      <w:tr>
        <w:tc>
          <w:tcPr>
            <w:tcW w:w="677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80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8100</w:t>
            </w:r>
          </w:p>
        </w:tc>
      </w:tr>
      <w:tr>
        <w:tc>
          <w:tcPr>
            <w:tcW w:w="677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8разряд работ в соответствии с единым тарифно-квалификационным справочником работ и профессий рабочих (костюмер, настройщик пианино и роялей)</w:t>
            </w:r>
          </w:p>
        </w:tc>
        <w:tc>
          <w:tcPr>
            <w:tcW w:w="2800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8400</w:t>
            </w:r>
          </w:p>
        </w:tc>
      </w:tr>
    </w:tbl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6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Примерным положением предусматривается установление к окладам рабочих повышающих коэффициентов следующих видов: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персональный повышающий коэффициент к окладу;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повышающий коэффициент к окладу за выполнение важных (особо важных) и ответственных (особо ответственных) работ.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Применение повышающих коэффициентов к окладу не образует новый оклад и не учитывается при начислении стимулирующих и компенсационных выплат, устанавливаемых в процентном отношении к окладу.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Решение о введении соответствующих повышающих коэффициентов принимается учреждением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рабочего на повышающий коэффициент.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Повышающие коэффициенты к окладам рабочих устанавливаются на определенный период времени в течение соответствующего календарного года.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Размеры и условия применения повышающих коэффициентов к окладам рабочих приведены в пунктах 7-9 настоящего раздела.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Персональный повышающий коэффициент к окладу может быть установлен рабочему с учетом уровня его профессиональной подготовленности,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в отношении конкретного рабочего. Размер повышающего коэффициента - в пределах 3,0.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Повышающий коэффициент к окладу за выполнение важных (особо важных) и ответственных (особо ответственных) работ устанавливается по решению руководителя учреждения рабочим, тарифицированным не ниже 6 разряда Единого тарифно-квалификационного справочника, и привлекаемым для выполнения важных (особо важных) и ответственных (особо ответственных) работ. Размер повышающего коэффициента - в пределах 0,3.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С учетом условий труда рабочим устанавливаются выплаты компенсационного характера, предусмотренные разделом VI настоящею положения.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Рабочим могут устанавливаться выплаты стимулирующего характера, предусмотренные разделом VII настоящего положения.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V. Условия оплаты труда руководителя учреждения, заместителя руководителя учреждения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Заработная плата руководителя учреждения, его заместителя и главного бухгалтера состоит из должностного оклада, выплат компенсационного и стимулирующего характера.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Должностные оклады заместителей руководителей учреждений и главных бухгалтеров учреждений устанавливаются на 10-30 процентов ниже должностных окладов руководителей этих учреждений.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Соотношение среднемесячной заработной платы руководителей, заместителей руководителей, главных бухгалтеров учреждений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руководителя, заместителей руководителя,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 «Об особенностях порядка исчисления средней заработной платы» (Собрание законодательства Российской Федерации, 2007, № 53, 2009, № 47; 2013, №13; 2014, № 29, 43; 2016, № 51).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Предельный уровень соотношения среднемесячной заработной платы руководителей, заместителей руководителей, главных бухгалтеров учреждений и среднемесячной заработной платы работников этих учреждений (без учета заработной платы руководителя, заместителей руководителя, главного бухгалтера) определяется нормативным правовым актом учредителя в кратности от 1 до 4.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 Руководителю учреждения выплаты стимулирующего характера выплачиваются по решению учредителя с учетом достижения показателей государственного задания на оказание государственных услуг (выполнение работ) и (или) иных показателей эффективности деятельности учреждения и его руководителя. Условия оплаты труда руководителя  учреждения устанавливаются в трудовом договоре, заключаемом на основе типовой формы трудового договора,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 (Собрание законодательства Российской Федерации, 2013, № 16).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В качестве показателя эффективности работы руководителя учреждения по решению Управления культуры может быть установлен pocт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федеральным законодательством и (или) решениями Кабинета Министров Республики Адыгея.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С учетом условий труда руководителю учреждения, заместителю руководителя учреждения и главному бухгалтеру учреждения устанавливаются выплаты компенсационного характера, предусмотренные разделом VI настоящего положения.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Заместителю руководителя учреждения и главному бухгалтеру учреждения руководителем учреждения устанавливаются выплаты стимулирующего характера, предусмотренные разделом VII настоящего положения, с учетом исполнения учреждением целевых показателей эффективности работы учреждения.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Управление вправе устанавливать предельную долю оплаты труда работников административно-управленческого и</w:t>
        <w:tab/>
        <w:t>вспомогательного персонала в фонде оплаты труда учреждений (не более 40 процентов), а также перечень должностей, относимых</w:t>
        <w:tab/>
        <w:t>к административно-управленческому и вспомогательному персоналу этих учреждений.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VI. Порядок и условия установления выплат компенсационного характера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Работникам, служащим и рабочим осуществляются выплаты компенсационного характера следующих видов: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выплаты работникам, занятым на работах с вредными и (или) опасными условиями труда;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за работу в условиях, отклоняющихся от нормальных: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при выполнении работ различной квалификации, совмещении профессии (должностей), сверхурочной работе, работе в ночное время и при выполнении работ в других условиях, отклоняющихся от нормальных;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за специфику работы педагогических работников;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за дополнительные трудозатраты, непосредственно связанные с обеспечением выполнения основных должностных обязанностей (классное руководство, проверка письменных работ, заведование отделениями, филиалами, учебно-консультационными пунктами, кабинетами, отделами, учебными мастерскими, лабораториями, руководство предметными цикловыми и методическими комиссиями; организация внеклассной работы, другие виды работ).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Выплата работникам, занятым на работах с вредными и опасными условиями труда, устанавливается в соответствии со статье Трудового кодекса Российской Федерации с учетом результатов проведения специальной оценки условий труда. Если по итогам проведения специально оценки условий труда рабочее место признается безопасным, установленная ранее выплата отменяется.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Размер выплат за работу в условиях, отклоняющихся от нормальных (при выполнении работ различной квалификации, совмещении профессии (должностей), сверхурочной работе, работе в ночное время и при выполнении работ в других условиях, отклоняющихся от нормальных), устанавливается в соответствии со статьями 149-158 Трудового кодекса Российской Федерации.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Размер выплат за дополнительные трудозатраты, непосредственно связанные с обеспечением выполнения основных должностных обязанностей, и срок, на который они устанавливаются, определяется по соглашению сторон трудового договора с учетом содержания и (или) объема дополнительной работы в пределах средств, направляемых на оплату груда работников учреждения: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преподавателям за </w:t>
      </w:r>
      <w:r>
        <w:rPr>
          <w:rFonts w:ascii="Times New Roman" w:hAnsi="Times New Roman"/>
          <w:b w:val="1"/>
          <w:color w:val="000000"/>
          <w:sz w:val="24"/>
        </w:rPr>
        <w:t>классное руководство: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- 10% ставки от 6 до 11 учащихся в классе;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- 15% ставки с числом учащихся в классе от 11 человек и выше;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- 10% ставки – преподавателям за проверку рефератов, письменных работ по сольфеджио, предметам историко-теоретического цикла музыкального и изобразительного искусства, оформление выставок, конкурсных работ учащихся, создание фонограмм, за работу с компьютерами;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преподавателям </w:t>
      </w:r>
      <w:r>
        <w:rPr>
          <w:rFonts w:ascii="Times New Roman" w:hAnsi="Times New Roman"/>
          <w:b w:val="1"/>
          <w:color w:val="000000"/>
          <w:sz w:val="24"/>
        </w:rPr>
        <w:t>за заведование отделением: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- 10% ставки – с числом учащихся на отделении 50 человек;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- 15% ставки - с числом учащихся от 51 до 100 человек;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- 20% - с числом учащихся от 101 и выше.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5.Выплаты компенсационного характера осуществляются при наличии объема субсидий, поступающих учреждению из бюджета МО «Тахтамукайский район», фонда заработной платы.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VII. Порядок и условия установления выплат стимулирующего характера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Работникам, служащим и рабочим осуществляются следующие выплаты стимулирующего характера: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за интенсивность и высокие результаты работы;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за выслугу лет;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за качество выполняемых работ;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премиальные выплаты но итогам работы.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Конкретные 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 с учетом разрабатываемых в учреждении показателей и критериев оценки эффективности труда работников.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Выплаты стимулирующего характера производятся по решению руководителя учреждения в пределах фонда оплаты труда учреждения.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Выплата за интенсивность и высокие результаты работы устанавливается всем работникам, служащим и рабочим: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за стабильно высокие показатели результативности работы, высокие академические и творческие достижения;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за разработку и внедрение новых эффективных программ, методик, форм обучения, организации и управления учебным процессом, создание новых экспериментальных площадок, применение в работе достижений науки, передовых методов труда, высокие достижения в работе, качественное выполнение работы по обеспечению учебного (образовательного) процесса или уставной деятельности организации;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за выполнение особо важных или срочных работ (на срок их проведения);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за сложность и напряженность выполняемой работы;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за выполнение работ, не входящих в должностные обязанности работника, но непосредственно связанных с образовательным процессом;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особый режим работы но обеспечению безаварийной, безотказной работы, а также бесперебойной работы инженерных и хозяйственно-эксплуатационных систем жизнеобеспечения учреждения.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Размер выплаты за интенсивность и высокие результаты работы может устанавливаться как в абсолютном значении, так и в процентном отношении к окладу - в пределах 300 процентов оклада.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Стимулирующая выплата за выслугу лет устанавливается работникам, кроме педагогических работников, служащим и рабочим в зависимости от общего количества лет, проработанных по специальности, профессии, в следующих размерах: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6"/>
        </w:rPr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288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6092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проработанных лет</w:t>
            </w:r>
          </w:p>
        </w:tc>
        <w:tc>
          <w:tcPr>
            <w:tcW w:w="319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 выплаты в процентах от оклада</w:t>
            </w:r>
          </w:p>
        </w:tc>
      </w:tr>
      <w:tr>
        <w:tc>
          <w:tcPr>
            <w:tcW w:w="288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092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 года до 3 лет</w:t>
            </w:r>
          </w:p>
        </w:tc>
        <w:tc>
          <w:tcPr>
            <w:tcW w:w="319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5</w:t>
            </w:r>
          </w:p>
        </w:tc>
      </w:tr>
      <w:tr>
        <w:tc>
          <w:tcPr>
            <w:tcW w:w="288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092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3 до 5 лет</w:t>
            </w:r>
          </w:p>
        </w:tc>
        <w:tc>
          <w:tcPr>
            <w:tcW w:w="319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</w:t>
            </w:r>
          </w:p>
        </w:tc>
      </w:tr>
      <w:tr>
        <w:tc>
          <w:tcPr>
            <w:tcW w:w="288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092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Свыше 5 лет</w:t>
            </w:r>
          </w:p>
        </w:tc>
        <w:tc>
          <w:tcPr>
            <w:tcW w:w="3191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</w:t>
            </w:r>
          </w:p>
        </w:tc>
      </w:tr>
    </w:tbl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  <w:tab/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Стимулирующая выплата за выслугу лет педагогическим работникам образовательных организаций устанавливается в размерах, предусмотренных пунктом 6 настоящего раздела в зависимости от продолжительности стажа педагогической работы, исчисляемого в порядке, установленном для работников образовательных организаций, подведомственных Министерству образования и науки Республики Адыгея.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Стимулирующая выплата за качество выполняемых работ устанавливается работникам учреждения, которым присвоена ученая степень, почетное звание по основному профилю профессиональной деятельности, в следующих размерах: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до 10 процентов от оклада - за ученую степень кандидата наук (со дня принятия решения Высшей аттестационной комиссией при Министерстве образования и науки Российской Федерации (далее - ВАК) о выдаче диплома) или за почетное звание « Заслуженный»;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до 15 процентов от оклада - за ученую степень кандидата наук (со дня принятия решения ВАК о выдаче диплома) или за почетное звание «Заслуженный» при одновременном знании и использовании в работе одного и более иностранных языков;</w:t>
        <w:tab/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до 20 процентов от оклада - за учетную степень доктора наук (со дня принятия решения ВАК о выдаче диплома) или за почетное звание «Народный»;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до 25 процентов от оклада - за ученую степень доктора наук (со дня принятия решения ВАК о выдаче диплома) или за почетное звание «Народный» при одновременном знании и использовании в работе одного и более иностранных языков.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Стимулирующие выплаты за качество выполняемых работ устанавливаются за классность водителя в следующих размерах.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1-й класс - 25%;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2-й класс - 15%.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Работникам, служащим и рабочим могут выплачиваться премиальные выплаты по итогам работы (за месяц, квартал, полугодие, год).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Размер премиальных выплат устанавливается в процентах к окладу (должностному окладу) или в абсолютном размере. Премиальные выплаты максимальным размером не ограничиваются.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12. Премирование работников, служащих и рабочих осуществляется на основе положения о премировании, регламентирующего показатели и условия выплаты премий, которое утверждается локальным нормативным актом учреждения с учетом мнения представительного органа работников.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13.Стимулирующие выплаты,премирование работниковосуществляются при наличии объема субсидий, поступающих учреждению из бюджета МО «Тахтамукайский район», фонда заработной платы.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b w:val="1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VIII. Индивидуальные условия оплаты труда отдельных работников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По решению руководителя учреждения на срок до 1 года работникам учреждений, занимающим должности педагогических работников и общеотраслевые должности служащих, и имеющим большой опыт профессиональной работы, могут быть установлены индивидуальные условия оплаты труда.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Индивидуальные условия оплаты труда (размер оклада, выплаты компенсационного и стимулирующего характера, а также условия их применения) определяются по соглашению сторон трудового договора, а также при наличии объема субсидий, поступающих учреждению из бюджета МО «Тахтамукайский район», фонда заработной платы.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4"/>
        </w:rPr>
        <w:t>3. Индивидуальные условия оплаты труда отдельных работников не должны быть хуже условий оплаты труда работников по занимаемой ими должности (профессии рабочих), предусмотренных настоящим положением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color w:val="000000"/>
          <w:sz w:val="26"/>
        </w:rPr>
      </w:pPr>
    </w:p>
    <w:p>
      <w:pPr>
        <w:spacing w:lineRule="auto" w:line="240" w:after="0" w:beforeAutospacing="0" w:afterAutospacing="0"/>
        <w:ind w:firstLine="708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IX. Другие вопросы оплаты труда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Из фонда оплаты труда учреждения работникам может быть выплачена материальная помощь.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Решение о выплате материальной помощи и ее конкретных размерах принимает руководитель учреждения на основании письменного заявления работника, при наличии фонда заработной платы.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Решение о выплате материальной помощи руководителю учреждения принимается Учредителем.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Приложение № 1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к положению об оплате труда работников           муниципального бюджетного учреждения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дополнительного образования «Яблоновская детская школа искусств»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 виду экономической деятельности «Образование»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Особенности оплаты труда педагогических работников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Ставка заработной платы за фактический объем педантической работы (далее - фактическая ставка) педагогических работников образовательных организаций определяется путем умножения ставки заработной платы за норму часов педагогической работы (далее нормативная ставка) на их фактическую нагрузку в неделю и деления полученного произведения на установленную норму часов педагогической работы за ставку заработной платы в неделю.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Установленная преподавателям фактическая ставка выплачивается ежемесячно независимо от числа недель и рабочих дней в разные месяцы года.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Исчисление фактической ставки преподавателям производится один раз в год. В случае если учебными планами предусматривается разное количество часов на предмет по полугодиям, исчисление фактической ставки осуществляется также один раз в год, но раздельно по полугодиям.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При невыполнении по не зависящим от преподавателя причинам объема учебной нагрузки, установленной при исчислении фактической ставки, уменьшение фактической ставки не производится.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 по санитарно-эпидемиологическим, климатическим и другим основаниям оплата труда педагогических работников, а также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кружковые занятия, производится из расчета фактической ставки, установленной до начала каникул или периода отмены учебных занятий (образовательного процесса) по указанным выше причинам.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До начала учебного года фактическая ставка преподавателей и концертмейстеров образовательных организаций дополнительного образования и профессиональных образовательных организаций определяется путем умножения часовой ставки преподавателя концертмейстера на установленный ему объем годовой учебной нагрузки и деления полученного произведения на 10 учебных месяцев. Часовая ставка определяется путем деления месячной ставки на среднемесячную норму учебной нагрузки (72 часа для преподавателей и 96 часов для концертмейстеров). Установленная фактическая ставка выплачивается преподавателям и концертмейстерам за работу в течение всего учебного года, а также за период каникул, н совпадающий ежегодным отпуском.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Преподавателям, поступившим на работу в течение учебного года, фактическая ставка определяется путем умножения часовых ставок на объем учебной нагрузки, приходящейся на число полных месяцев работы до конца учебного года, и деления полученного произведения на количество этих же месяцев. Заработная плата за неполный рабочий месяц в этом случае выплачивается за фактическое количество часов по часовым ставкам.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При повышении нормативной ставки фактическая ставка определяется путем умножения новой часовой ставки на объем годовой нагрузки, установленной в начале учебного года, и деления полученного произведения на 10 учебных месяцев.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Часы преподавательской работы, данные сверх установленной годовой учебной нагрузки, оплачиваются дополнительно по часовым ставкам только после выполнения преподавателем всей годовой учебной нагрузки. Эта оплата производится помесячно или в конце учебного года.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Оплата труда преподавателей за часы учебных занятий, выполненные при замещении временно отсутствовавших преподавателей по болезни и другим причинам, производится дополнительно по часовым ставкам помесячно или в конце учебного года также только после выполнения преподавателем всей годовой учебной нагрузки, установленной при исчислении фактической ставки.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12. Если замещение продолжается непрерывно свыше двух месяцев, то со дня его начала производится перерасчет фактической ставки преподавателей исходя из уточненного объема учебной нагрузки в порядке, предусмотренном для преподавателей, поступивших на работу в течение учебного года.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13. В том случае, когда преподаватели освобождаются от учебных занятий с сохранением за ними частично или полностью заработной платы (ежегодный и дополнительный отпуска, учебные сборы, командировка), установленный им объем годовой учебной нагрузки должен быть уменьшен на 1/10 часть за каждый полный месяц отсутствия на работе и исходя из количества пропущенных рабочих дней - за неполный месяц. В таком жепорядке производится уменьшение годовой учебной нагрузки в случае освобождения преподавателей от учебных занятий без сохранения заработной платы, а также в случаях временной нетрудоспособности, отпуска по беременности и родам.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Порядок уменьшения учебной нагрузки, предусмотренный для преподавателей профтехцикла, на преподавателей общеобразовательных дисциплин не распространяется.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15. Уменьшение нагрузки за дни, когда преподаватель факт выполнил учебную работу (например, в день выдачи больничного листа, день выбытия в командировку и прибытия из нее), не производится.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16. Если в образовательной организации учебный процесс продолжается в течение всего календарного года и ежегодный отпуск преподавателям, в связи с этим может предоставляться в различные месяцы года, а не только в период летних каникул, снижение учебной нагрузки за время ежегодного отпуска за текущий учебный год также не производится.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17. Часы преподавательской работы, выполненные преподавателем в течение учебного года сверх уменьшенной нагрузки, оплачиваются дополнительно по часовым ставкам только после выполнения преподавателем всей годовой учебной нагрузки. Оплата производится помесячно или в конце учебного года.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18. В том случае, если по объективным причинам в период учебного года произошло уменьшение объема нагрузки отдельных преподавателей, то им в остающийся до конца учебного года период выплачивается фактическая ставка в размере, установленном на начало учебного года.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19. В случаях, указанных в пунктах 16-18, установленная в начале учебного года фактическая ставка уменьшению не подлежит.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Приложение № 2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к положению об оплате труда работников           муниципального бюджетного учреждения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дополнительного образования «Яблоновская детская школа искусств»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виду экономической деятельности «Образование»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firstLine="708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Порядок и условия почасовой оплаты труда педагогических работников</w:t>
      </w:r>
    </w:p>
    <w:p>
      <w:pPr>
        <w:spacing w:lineRule="auto" w:line="240" w:after="0" w:beforeAutospacing="0" w:afterAutospacing="0"/>
        <w:ind w:firstLine="708"/>
        <w:jc w:val="center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Почасовая оплата труда педагогических работников образовательных организаций применяется при оплате: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за часы, выполненные в порядке замещения отсутствующих педагогических работников, продолжавшегося нс свыше двух месяцев,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за часы педагогической работы, выполненные преподавателями при работе с заочниками и детьми, находящимися на длительном лечении в больнице, сверх объема, установленного им при исчислении фактической ставки;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за педагогическую работу специалистов иных организаций (в том числе из числа работников органов управления образованием, методических и учебно-методических кабинетов), привлекаемых для педагогической работы в учреждения;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за часы преподавательской работы в объеме 300 часов в год в другом учреждении (в одном или нескольких) сверх учебной нагрузки, выполняемой по совместительству на основе фактической ставки;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преподавателям профессиональных образовательных организаций за выполнение преподавательской работы сверх уменьшенного годового объема учебной нагрузки.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Размер оплаты за один час указанной педагогической работы определяется путем деления нормативной ставки педагогического работника на среднемесячное количество рабочих часов, установленное по занимаемой должности.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Руководители образовательных организаций в пределах имеющихся средств, с учетом целесообразности и соблюдения интересов штатных работников организации, могут привлекать для проведения учебных занятий с обучающимися высококвалифицированных специалистов (например, на непродолжительный срок для проведения отдельных занятий курсов лекций и т.д.) с применением следующих условий и коэффициентов к ставке почасовой оплаты труда:</w:t>
      </w:r>
    </w:p>
    <w:tbl>
      <w:tblPr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0A0"/>
      </w:tblPr>
      <w:tblGrid/>
      <w:tr>
        <w:tc>
          <w:tcPr>
            <w:tcW w:w="5778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Контингент обучающихся</w:t>
            </w:r>
          </w:p>
        </w:tc>
        <w:tc>
          <w:tcPr>
            <w:tcW w:w="4013" w:type="dxa"/>
            <w:gridSpan w:val="3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Размер коэффициентов</w:t>
            </w:r>
          </w:p>
        </w:tc>
      </w:tr>
      <w:tr>
        <w:tc>
          <w:tcPr>
            <w:tcW w:w="5778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276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профессор,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доктор наук</w:t>
            </w:r>
          </w:p>
        </w:tc>
        <w:tc>
          <w:tcPr>
            <w:tcW w:w="135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доцент,кандидат наук</w:t>
            </w:r>
          </w:p>
        </w:tc>
        <w:tc>
          <w:tcPr>
            <w:tcW w:w="1383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лица,не имеющие ученой степени</w:t>
            </w:r>
          </w:p>
        </w:tc>
      </w:tr>
      <w:tr>
        <w:tc>
          <w:tcPr>
            <w:tcW w:w="5778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Обучающиеся в организациях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дополнительного образования, работники, занимающие должности, требующие среднего профессионального образования, слушатели курсов</w:t>
            </w:r>
          </w:p>
        </w:tc>
        <w:tc>
          <w:tcPr>
            <w:tcW w:w="1276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0,073</w:t>
            </w:r>
          </w:p>
        </w:tc>
        <w:tc>
          <w:tcPr>
            <w:tcW w:w="1354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0,055</w:t>
            </w:r>
          </w:p>
        </w:tc>
        <w:tc>
          <w:tcPr>
            <w:tcW w:w="1383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0,037</w:t>
            </w:r>
          </w:p>
        </w:tc>
      </w:tr>
      <w:tr>
        <w:tc>
          <w:tcPr>
            <w:tcW w:w="5778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Студенты</w:t>
            </w:r>
          </w:p>
        </w:tc>
        <w:tc>
          <w:tcPr>
            <w:tcW w:w="1276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0,091</w:t>
            </w:r>
          </w:p>
        </w:tc>
        <w:tc>
          <w:tcPr>
            <w:tcW w:w="1354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0,073</w:t>
            </w:r>
          </w:p>
        </w:tc>
        <w:tc>
          <w:tcPr>
            <w:tcW w:w="1383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0,037</w:t>
            </w:r>
          </w:p>
        </w:tc>
      </w:tr>
      <w:tr>
        <w:tc>
          <w:tcPr>
            <w:tcW w:w="5778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Слушатели учебных заведений по повышению квалификации руководителей и специалистов</w:t>
            </w:r>
          </w:p>
        </w:tc>
        <w:tc>
          <w:tcPr>
            <w:tcW w:w="1276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0,110</w:t>
            </w:r>
          </w:p>
        </w:tc>
        <w:tc>
          <w:tcPr>
            <w:tcW w:w="1354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0,091</w:t>
            </w:r>
          </w:p>
        </w:tc>
        <w:tc>
          <w:tcPr>
            <w:tcW w:w="1383" w:type="dxa"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0,055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В ставки почасовой оплаты груда включена оплата за отпуск.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Ставки почасовой оплаты труда лиц, имеющих почетное звание «Народный», устанавливаются в размерах, предусмотренных для профессоров, докторов наук.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Ставки почасовой оплаты труда лиц, имеющих почетное звание «Заслуженный», устанавливаются в размерах, предусмотренных для доцентов, кандидатов наук.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Оплата труда членов жюри конкурсов и смотров, а также рецензентов конкурсных работ производится по ставкам почасовой оплаты труда, предусмотренным для лиц, проводящих учебные занятия со студентами.</w:t>
      </w:r>
    </w:p>
    <w:p>
      <w:pPr>
        <w:spacing w:lineRule="auto" w:line="240" w:after="0" w:beforeAutospacing="0" w:afterAutospacing="0"/>
        <w:ind w:firstLine="708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Регистрационный № ___</w:t>
      </w:r>
    </w:p>
    <w:sectPr>
      <w:type w:val="nextPage"/>
      <w:pgSz w:w="11906" w:h="16838" w:code="9"/>
      <w:pgMar w:left="1701" w:right="424" w:top="709" w:bottom="99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4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1">
      <w:start w:val="4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2">
      <w:start w:val="4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3">
      <w:start w:val="4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4">
      <w:start w:val="4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5">
      <w:start w:val="4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6">
      <w:start w:val="4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7">
      <w:start w:val="4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8">
      <w:start w:val="4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</w:abstractNum>
  <w:abstractNum w:abstractNumId="1">
    <w:nsid w:val="00000003"/>
    <w:multiLevelType w:val="multilevel"/>
    <w:lvl w:ilvl="0">
      <w:start w:val="1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1">
      <w:start w:val="1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2">
      <w:start w:val="1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3">
      <w:start w:val="1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4">
      <w:start w:val="1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5">
      <w:start w:val="1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6">
      <w:start w:val="1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7">
      <w:start w:val="1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  <w:lvl w:ilvl="8">
      <w:start w:val="1"/>
      <w:numFmt w:val="decimal"/>
      <w:suff w:val="tab"/>
      <w:lvlText w:val="%1."/>
      <w:lvlJc w:val="left"/>
      <w:pPr/>
      <w:rPr>
        <w:b w:val="0"/>
        <w:i w:val="0"/>
        <w:strike w:val="0"/>
        <w:color w:val="000000"/>
        <w:sz w:val="26"/>
        <w:u w:val="none"/>
      </w:rPr>
    </w:lvl>
  </w:abstractNum>
  <w:abstractNum w:abstractNumId="2">
    <w:nsid w:val="00000005"/>
    <w:multiLevelType w:val="multilevel"/>
    <w:lvl w:ilvl="0">
      <w:start w:val="1"/>
      <w:numFmt w:val="decimal"/>
      <w:suff w:val="tab"/>
      <w:lvlText w:val="%1)"/>
      <w:lvlJc w:val="left"/>
      <w:pPr/>
      <w:rPr>
        <w:b w:val="0"/>
        <w:i w:val="0"/>
        <w:strike w:val="0"/>
        <w:color w:val="000000"/>
        <w:sz w:val="26"/>
        <w:u w:val="none"/>
      </w:rPr>
    </w:lvl>
    <w:lvl w:ilvl="1">
      <w:start w:val="1"/>
      <w:numFmt w:val="decimal"/>
      <w:suff w:val="tab"/>
      <w:lvlText w:val="%1)"/>
      <w:lvlJc w:val="left"/>
      <w:pPr/>
      <w:rPr>
        <w:b w:val="0"/>
        <w:i w:val="0"/>
        <w:strike w:val="0"/>
        <w:color w:val="000000"/>
        <w:sz w:val="26"/>
        <w:u w:val="none"/>
      </w:rPr>
    </w:lvl>
    <w:lvl w:ilvl="2">
      <w:start w:val="1"/>
      <w:numFmt w:val="decimal"/>
      <w:suff w:val="tab"/>
      <w:lvlText w:val="%1)"/>
      <w:lvlJc w:val="left"/>
      <w:pPr/>
      <w:rPr>
        <w:b w:val="0"/>
        <w:i w:val="0"/>
        <w:strike w:val="0"/>
        <w:color w:val="000000"/>
        <w:sz w:val="26"/>
        <w:u w:val="none"/>
      </w:rPr>
    </w:lvl>
    <w:lvl w:ilvl="3">
      <w:start w:val="1"/>
      <w:numFmt w:val="decimal"/>
      <w:suff w:val="tab"/>
      <w:lvlText w:val="%1)"/>
      <w:lvlJc w:val="left"/>
      <w:pPr/>
      <w:rPr>
        <w:b w:val="0"/>
        <w:i w:val="0"/>
        <w:strike w:val="0"/>
        <w:color w:val="000000"/>
        <w:sz w:val="26"/>
        <w:u w:val="none"/>
      </w:rPr>
    </w:lvl>
    <w:lvl w:ilvl="4">
      <w:start w:val="1"/>
      <w:numFmt w:val="decimal"/>
      <w:suff w:val="tab"/>
      <w:lvlText w:val="%1)"/>
      <w:lvlJc w:val="left"/>
      <w:pPr/>
      <w:rPr>
        <w:b w:val="0"/>
        <w:i w:val="0"/>
        <w:strike w:val="0"/>
        <w:color w:val="000000"/>
        <w:sz w:val="26"/>
        <w:u w:val="none"/>
      </w:rPr>
    </w:lvl>
    <w:lvl w:ilvl="5">
      <w:start w:val="1"/>
      <w:numFmt w:val="decimal"/>
      <w:suff w:val="tab"/>
      <w:lvlText w:val="%1)"/>
      <w:lvlJc w:val="left"/>
      <w:pPr/>
      <w:rPr>
        <w:b w:val="0"/>
        <w:i w:val="0"/>
        <w:strike w:val="0"/>
        <w:color w:val="000000"/>
        <w:sz w:val="26"/>
        <w:u w:val="none"/>
      </w:rPr>
    </w:lvl>
    <w:lvl w:ilvl="6">
      <w:start w:val="1"/>
      <w:numFmt w:val="decimal"/>
      <w:suff w:val="tab"/>
      <w:lvlText w:val="%1)"/>
      <w:lvlJc w:val="left"/>
      <w:pPr/>
      <w:rPr>
        <w:b w:val="0"/>
        <w:i w:val="0"/>
        <w:strike w:val="0"/>
        <w:color w:val="000000"/>
        <w:sz w:val="26"/>
        <w:u w:val="none"/>
      </w:rPr>
    </w:lvl>
    <w:lvl w:ilvl="7">
      <w:start w:val="1"/>
      <w:numFmt w:val="decimal"/>
      <w:suff w:val="tab"/>
      <w:lvlText w:val="%1)"/>
      <w:lvlJc w:val="left"/>
      <w:pPr/>
      <w:rPr>
        <w:b w:val="0"/>
        <w:i w:val="0"/>
        <w:strike w:val="0"/>
        <w:color w:val="000000"/>
        <w:sz w:val="26"/>
        <w:u w:val="none"/>
      </w:rPr>
    </w:lvl>
    <w:lvl w:ilvl="8">
      <w:start w:val="1"/>
      <w:numFmt w:val="decimal"/>
      <w:suff w:val="tab"/>
      <w:lvlText w:val="%1)"/>
      <w:lvlJc w:val="left"/>
      <w:pPr/>
      <w:rPr>
        <w:b w:val="0"/>
        <w:i w:val="0"/>
        <w:strike w:val="0"/>
        <w:color w:val="000000"/>
        <w:sz w:val="26"/>
        <w:u w:val="none"/>
      </w:rPr>
    </w:lvl>
  </w:abstractNum>
  <w:abstractNum w:abstractNumId="3">
    <w:nsid w:val="1CD96F70"/>
    <w:multiLevelType w:val="hybridMultilevel"/>
    <w:lvl w:ilvl="0" w:tplc="16D2F7B4">
      <w:start w:val="1"/>
      <w:numFmt w:val="decimal"/>
      <w:suff w:val="tab"/>
      <w:lvlText w:val="%1."/>
      <w:lvlJc w:val="left"/>
      <w:pPr>
        <w:ind w:hanging="480" w:left="1188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8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8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